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61AB5">
      <w:pPr>
        <w:spacing w:line="240" w:lineRule="auto"/>
        <w:jc w:val="center"/>
        <w:rPr>
          <w:b/>
          <w:sz w:val="32"/>
          <w:szCs w:val="32"/>
        </w:rPr>
      </w:pPr>
      <w:r>
        <w:rPr>
          <w:rFonts w:hint="default"/>
          <w:b/>
          <w:sz w:val="32"/>
          <w:szCs w:val="32"/>
          <w:lang w:val="ru-RU"/>
        </w:rPr>
        <w:t xml:space="preserve">   </w:t>
      </w:r>
      <w:bookmarkStart w:id="0" w:name="_GoBack"/>
      <w:bookmarkEnd w:id="0"/>
      <w:r>
        <w:rPr>
          <w:b/>
          <w:sz w:val="32"/>
          <w:szCs w:val="32"/>
        </w:rPr>
        <w:t>Отчет о проведении публичных консультаций</w:t>
      </w:r>
    </w:p>
    <w:p w14:paraId="5F40E165">
      <w:pPr>
        <w:spacing w:line="240" w:lineRule="auto"/>
        <w:jc w:val="center"/>
        <w:rPr>
          <w:sz w:val="28"/>
          <w:szCs w:val="28"/>
          <w:u w:val="single"/>
        </w:rPr>
      </w:pPr>
    </w:p>
    <w:p w14:paraId="0F218E97">
      <w:pPr>
        <w:spacing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  <w:lang w:val="ru-RU"/>
        </w:rPr>
        <w:t>Экономический</w:t>
      </w:r>
      <w:r>
        <w:rPr>
          <w:rFonts w:hint="default"/>
          <w:sz w:val="28"/>
          <w:szCs w:val="28"/>
          <w:u w:val="single"/>
          <w:lang w:val="ru-RU"/>
        </w:rPr>
        <w:t xml:space="preserve"> отдел управления экономического развития, промышленности и предпринимательства</w:t>
      </w:r>
      <w:r>
        <w:rPr>
          <w:sz w:val="28"/>
          <w:szCs w:val="28"/>
        </w:rPr>
        <w:t xml:space="preserve">               </w:t>
      </w:r>
    </w:p>
    <w:p w14:paraId="1E1DE33D">
      <w:pPr>
        <w:spacing w:line="240" w:lineRule="auto"/>
        <w:contextualSpacing/>
        <w:jc w:val="center"/>
      </w:pPr>
      <w:r>
        <w:t>(наименование структурного подразделения администрации)</w:t>
      </w:r>
    </w:p>
    <w:p w14:paraId="758E6304">
      <w:pPr>
        <w:spacing w:line="240" w:lineRule="auto"/>
        <w:ind w:firstLine="708"/>
        <w:contextualSpacing/>
        <w:jc w:val="both"/>
        <w:rPr>
          <w:sz w:val="28"/>
          <w:szCs w:val="28"/>
          <w:u w:val="single"/>
        </w:rPr>
      </w:pPr>
    </w:p>
    <w:p w14:paraId="117C29DF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  <w:lang w:val="ru-RU"/>
        </w:rPr>
        <w:t>По п</w:t>
      </w:r>
      <w:r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  <w:t>еречню нормативных правовых актов администрации на соответствие их антимонопольному законодательству</w:t>
      </w:r>
    </w:p>
    <w:p w14:paraId="34F56E08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</w:p>
    <w:p w14:paraId="4844A5DB">
      <w:pPr>
        <w:spacing w:line="240" w:lineRule="auto"/>
        <w:contextualSpacing/>
        <w:jc w:val="center"/>
        <w:rPr>
          <w:rFonts w:hint="default" w:ascii="Times New Roman" w:hAnsi="Times New Roman" w:eastAsia="Helvetica" w:cs="Times New Roman"/>
          <w:b/>
          <w:bCs/>
          <w:i w:val="0"/>
          <w:caps w:val="0"/>
          <w:color w:val="333333"/>
          <w:spacing w:val="0"/>
          <w:sz w:val="28"/>
          <w:szCs w:val="28"/>
        </w:rPr>
      </w:pPr>
    </w:p>
    <w:p w14:paraId="189E2F95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1. Срок проведения публичных консультаций:</w:t>
      </w:r>
    </w:p>
    <w:p w14:paraId="11820DDB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rFonts w:hint="default"/>
          <w:sz w:val="28"/>
          <w:szCs w:val="28"/>
          <w:lang w:val="en-US"/>
        </w:rPr>
        <w:t>1</w:t>
      </w:r>
      <w:r>
        <w:rPr>
          <w:rFonts w:hint="default"/>
          <w:sz w:val="28"/>
          <w:szCs w:val="28"/>
          <w:lang w:val="ru-RU"/>
        </w:rPr>
        <w:t>9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декабря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 года – «</w:t>
      </w:r>
      <w:r>
        <w:rPr>
          <w:rFonts w:hint="default"/>
          <w:sz w:val="28"/>
          <w:szCs w:val="28"/>
          <w:lang w:val="ru-RU"/>
        </w:rPr>
        <w:t>2</w:t>
      </w:r>
      <w:r>
        <w:rPr>
          <w:rFonts w:hint="default"/>
          <w:sz w:val="28"/>
          <w:szCs w:val="28"/>
          <w:lang w:val="en-US"/>
        </w:rPr>
        <w:t>0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ru-RU"/>
        </w:rPr>
        <w:t>января</w:t>
      </w:r>
      <w:r>
        <w:rPr>
          <w:sz w:val="28"/>
          <w:szCs w:val="28"/>
        </w:rPr>
        <w:t xml:space="preserve"> 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</w:t>
      </w:r>
    </w:p>
    <w:p w14:paraId="2F0F042F">
      <w:pPr>
        <w:spacing w:line="240" w:lineRule="auto"/>
        <w:contextualSpacing/>
        <w:rPr>
          <w:b/>
          <w:sz w:val="28"/>
          <w:szCs w:val="28"/>
        </w:rPr>
      </w:pPr>
    </w:p>
    <w:p w14:paraId="427B6DFE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Проведенные формы публичных консультаций:</w:t>
      </w:r>
    </w:p>
    <w:p w14:paraId="2FE84FEF">
      <w:pPr>
        <w:spacing w:line="240" w:lineRule="auto"/>
        <w:contextualSpacing/>
        <w:rPr>
          <w:b/>
          <w:sz w:val="28"/>
          <w:szCs w:val="28"/>
        </w:rPr>
      </w:pPr>
    </w:p>
    <w:tbl>
      <w:tblPr>
        <w:tblStyle w:val="3"/>
        <w:tblW w:w="9600" w:type="dxa"/>
        <w:tblInd w:w="62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102" w:type="dxa"/>
          <w:left w:w="57" w:type="dxa"/>
          <w:bottom w:w="102" w:type="dxa"/>
          <w:right w:w="62" w:type="dxa"/>
        </w:tblCellMar>
      </w:tblPr>
      <w:tblGrid>
        <w:gridCol w:w="680"/>
        <w:gridCol w:w="4145"/>
        <w:gridCol w:w="2400"/>
        <w:gridCol w:w="2375"/>
      </w:tblGrid>
      <w:tr w14:paraId="12DD7323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6F671EA8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1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02CBC172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формы</w:t>
            </w:r>
          </w:p>
          <w:p w14:paraId="2CAE10BB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публичных консультаций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4ABFF3AC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2604393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участников</w:t>
            </w:r>
          </w:p>
        </w:tc>
      </w:tr>
      <w:tr w14:paraId="1D1AEAB4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102" w:type="dxa"/>
            <w:left w:w="57" w:type="dxa"/>
            <w:bottom w:w="102" w:type="dxa"/>
            <w:right w:w="62" w:type="dxa"/>
          </w:tblCellMar>
        </w:tblPrEx>
        <w:tc>
          <w:tcPr>
            <w:tcW w:w="6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FAE1CD8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4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5C50F768">
            <w:pPr>
              <w:spacing w:line="240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Сбор мнений участников публичных консультаций в электронном виде или на бумажном носителе</w:t>
            </w:r>
          </w:p>
        </w:tc>
        <w:tc>
          <w:tcPr>
            <w:tcW w:w="240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342F7D87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ru-RU"/>
              </w:rPr>
              <w:t>19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12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</w:rPr>
              <w:t xml:space="preserve"> года – </w:t>
            </w:r>
            <w:r>
              <w:rPr>
                <w:rFonts w:hint="default"/>
                <w:sz w:val="28"/>
                <w:szCs w:val="28"/>
                <w:lang w:val="ru-RU"/>
              </w:rPr>
              <w:t>20</w:t>
            </w:r>
            <w:r>
              <w:rPr>
                <w:sz w:val="28"/>
                <w:szCs w:val="28"/>
              </w:rPr>
              <w:t>.</w:t>
            </w:r>
            <w:r>
              <w:rPr>
                <w:rFonts w:hint="default"/>
                <w:sz w:val="28"/>
                <w:szCs w:val="28"/>
                <w:lang w:val="ru-RU"/>
              </w:rPr>
              <w:t>01</w:t>
            </w:r>
            <w:r>
              <w:rPr>
                <w:sz w:val="28"/>
                <w:szCs w:val="28"/>
              </w:rPr>
              <w:t>.202</w:t>
            </w:r>
            <w:r>
              <w:rPr>
                <w:rFonts w:hint="default"/>
                <w:sz w:val="28"/>
                <w:szCs w:val="28"/>
                <w:lang w:val="ru-RU"/>
              </w:rPr>
              <w:t>6</w:t>
            </w:r>
            <w:r>
              <w:rPr>
                <w:sz w:val="28"/>
                <w:szCs w:val="28"/>
              </w:rPr>
              <w:t xml:space="preserve"> года</w:t>
            </w:r>
          </w:p>
          <w:p w14:paraId="561B7406">
            <w:pPr>
              <w:spacing w:line="24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237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shd w:val="clear" w:color="auto" w:fill="auto"/>
          </w:tcPr>
          <w:p w14:paraId="7B939533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14:paraId="44E57BC1">
      <w:pPr>
        <w:spacing w:line="240" w:lineRule="auto"/>
        <w:ind w:firstLine="540"/>
        <w:contextualSpacing/>
        <w:jc w:val="both"/>
        <w:rPr>
          <w:sz w:val="28"/>
          <w:szCs w:val="28"/>
        </w:rPr>
      </w:pPr>
    </w:p>
    <w:p w14:paraId="688B2B3E">
      <w:pPr>
        <w:spacing w:line="240" w:lineRule="auto"/>
        <w:contextualSpacing/>
        <w:rPr>
          <w:sz w:val="28"/>
          <w:szCs w:val="28"/>
        </w:rPr>
      </w:pPr>
      <w:r>
        <w:rPr>
          <w:b/>
          <w:sz w:val="28"/>
          <w:szCs w:val="28"/>
        </w:rPr>
        <w:t>3. Список участников публичных консультаций:</w:t>
      </w:r>
      <w:r>
        <w:rPr>
          <w:sz w:val="28"/>
          <w:szCs w:val="28"/>
        </w:rPr>
        <w:t xml:space="preserve"> -</w:t>
      </w:r>
    </w:p>
    <w:p w14:paraId="60812A56">
      <w:pPr>
        <w:spacing w:line="240" w:lineRule="auto"/>
        <w:contextualSpacing/>
        <w:rPr>
          <w:sz w:val="28"/>
          <w:szCs w:val="28"/>
        </w:rPr>
      </w:pPr>
    </w:p>
    <w:p w14:paraId="3AFA1428">
      <w:pPr>
        <w:numPr>
          <w:ilvl w:val="0"/>
          <w:numId w:val="1"/>
        </w:numPr>
        <w:spacing w:line="240" w:lineRule="auto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Свод замечаний и предложений по результатам публичных консультаций</w:t>
      </w:r>
    </w:p>
    <w:p w14:paraId="2205BB07">
      <w:pPr>
        <w:spacing w:line="240" w:lineRule="auto"/>
        <w:contextualSpacing/>
        <w:jc w:val="both"/>
        <w:rPr>
          <w:b/>
          <w:sz w:val="28"/>
          <w:szCs w:val="28"/>
        </w:rPr>
      </w:pPr>
    </w:p>
    <w:tbl>
      <w:tblPr>
        <w:tblStyle w:val="3"/>
        <w:tblW w:w="0" w:type="auto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</w:tblPr>
      <w:tblGrid>
        <w:gridCol w:w="600"/>
        <w:gridCol w:w="2520"/>
        <w:gridCol w:w="3000"/>
        <w:gridCol w:w="3240"/>
      </w:tblGrid>
      <w:tr w14:paraId="669150DB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rPr>
          <w:trHeight w:val="400" w:hRule="atLeast"/>
        </w:trPr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6DCC47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№ </w:t>
            </w:r>
          </w:p>
          <w:p w14:paraId="4FAD811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17D2AD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Замечания и (или) предложения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BB03B90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Автор замечаний и (или) предложений (участник публичных консультаций)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E666BDF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Комментарий (позиция) регулирующего органа</w:t>
            </w:r>
          </w:p>
          <w:p w14:paraId="7626F726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14:paraId="641270B9">
        <w:tblPrEx>
          <w:tblCellMar>
            <w:top w:w="0" w:type="dxa"/>
            <w:left w:w="75" w:type="dxa"/>
            <w:bottom w:w="0" w:type="dxa"/>
            <w:right w:w="75" w:type="dxa"/>
          </w:tblCellMar>
        </w:tblPrEx>
        <w:tc>
          <w:tcPr>
            <w:tcW w:w="6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DD97DD5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DF93F49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поступало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6CB4AB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hint="default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eastAsia="Calibri"/>
                <w:sz w:val="28"/>
                <w:szCs w:val="28"/>
                <w:lang w:val="ru-RU" w:eastAsia="en-US"/>
              </w:rPr>
              <w:t>-</w:t>
            </w:r>
          </w:p>
        </w:tc>
        <w:tc>
          <w:tcPr>
            <w:tcW w:w="3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EFC6B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hint="default" w:eastAsia="Calibri"/>
                <w:sz w:val="28"/>
                <w:szCs w:val="28"/>
                <w:lang w:val="ru-RU" w:eastAsia="en-US"/>
              </w:rPr>
            </w:pPr>
            <w:r>
              <w:rPr>
                <w:rFonts w:hint="default" w:eastAsia="Calibri"/>
                <w:sz w:val="28"/>
                <w:szCs w:val="28"/>
                <w:lang w:val="ru-RU" w:eastAsia="en-US"/>
              </w:rPr>
              <w:t>-</w:t>
            </w:r>
          </w:p>
        </w:tc>
      </w:tr>
    </w:tbl>
    <w:p w14:paraId="627EDDAD">
      <w:pPr>
        <w:spacing w:line="240" w:lineRule="auto"/>
        <w:contextualSpacing/>
        <w:rPr>
          <w:sz w:val="28"/>
          <w:szCs w:val="28"/>
        </w:rPr>
      </w:pPr>
    </w:p>
    <w:p w14:paraId="6D6E76AB">
      <w:pPr>
        <w:spacing w:line="240" w:lineRule="auto"/>
        <w:rPr>
          <w:sz w:val="28"/>
          <w:szCs w:val="28"/>
        </w:rPr>
      </w:pPr>
    </w:p>
    <w:p w14:paraId="49B79719">
      <w:pPr>
        <w:spacing w:line="240" w:lineRule="auto"/>
        <w:rPr>
          <w:sz w:val="28"/>
          <w:szCs w:val="28"/>
        </w:rPr>
      </w:pPr>
    </w:p>
    <w:p w14:paraId="7A7AA25E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ru-RU"/>
        </w:rPr>
        <w:t>отдела</w:t>
      </w:r>
      <w:r>
        <w:rPr>
          <w:rFonts w:hint="default"/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hint="default"/>
          <w:sz w:val="28"/>
          <w:szCs w:val="28"/>
          <w:lang w:val="ru-RU"/>
        </w:rPr>
        <w:t xml:space="preserve">                         </w:t>
      </w:r>
      <w:r>
        <w:rPr>
          <w:sz w:val="28"/>
          <w:szCs w:val="28"/>
          <w:lang w:val="ru-RU"/>
        </w:rPr>
        <w:t>Л</w:t>
      </w:r>
      <w:r>
        <w:rPr>
          <w:rFonts w:hint="default"/>
          <w:sz w:val="28"/>
          <w:szCs w:val="28"/>
          <w:lang w:val="ru-RU"/>
        </w:rPr>
        <w:t>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Калачева</w:t>
      </w:r>
      <w:r>
        <w:rPr>
          <w:sz w:val="28"/>
          <w:szCs w:val="28"/>
        </w:rPr>
        <w:t xml:space="preserve"> </w:t>
      </w:r>
    </w:p>
    <w:p w14:paraId="5A9F02CF">
      <w:pPr>
        <w:ind w:left="567" w:right="-567"/>
        <w:jc w:val="both"/>
        <w:rPr>
          <w:sz w:val="28"/>
          <w:szCs w:val="28"/>
        </w:rPr>
      </w:pPr>
    </w:p>
    <w:p w14:paraId="39512E33">
      <w:pPr>
        <w:ind w:left="567" w:right="-567"/>
        <w:jc w:val="both"/>
        <w:rPr>
          <w:sz w:val="28"/>
          <w:szCs w:val="28"/>
        </w:rPr>
      </w:pPr>
    </w:p>
    <w:p w14:paraId="2778471F">
      <w:pPr>
        <w:ind w:right="-567"/>
        <w:contextualSpacing/>
        <w:jc w:val="both"/>
      </w:pPr>
      <w:r>
        <w:rPr>
          <w:lang w:val="ru-RU"/>
        </w:rPr>
        <w:t>Ваулина</w:t>
      </w:r>
      <w:r>
        <w:rPr>
          <w:rFonts w:hint="default"/>
          <w:lang w:val="ru-RU"/>
        </w:rPr>
        <w:t xml:space="preserve"> О</w:t>
      </w:r>
      <w:r>
        <w:t>.</w:t>
      </w:r>
      <w:r>
        <w:rPr>
          <w:lang w:val="ru-RU"/>
        </w:rPr>
        <w:t>В</w:t>
      </w:r>
      <w:r>
        <w:t>.</w:t>
      </w:r>
    </w:p>
    <w:p w14:paraId="23DE04B6">
      <w:pPr>
        <w:contextualSpacing/>
      </w:pPr>
      <w:r>
        <w:t>2-</w:t>
      </w:r>
      <w:r>
        <w:rPr>
          <w:rFonts w:hint="default"/>
          <w:lang w:val="ru-RU"/>
        </w:rPr>
        <w:t>12-57</w:t>
      </w:r>
    </w:p>
    <w:sectPr>
      <w:pgSz w:w="11906" w:h="16838"/>
      <w:pgMar w:top="851" w:right="850" w:bottom="709" w:left="1701" w:header="0" w:footer="0" w:gutter="0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Liberation Sans">
    <w:altName w:val="Arial"/>
    <w:panose1 w:val="00000000000000000000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5B76F"/>
    <w:multiLevelType w:val="singleLevel"/>
    <w:tmpl w:val="2695B76F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C0"/>
    <w:rsid w:val="00051119"/>
    <w:rsid w:val="00065D5F"/>
    <w:rsid w:val="0025538E"/>
    <w:rsid w:val="0028599D"/>
    <w:rsid w:val="005146C7"/>
    <w:rsid w:val="00535478"/>
    <w:rsid w:val="005E0D49"/>
    <w:rsid w:val="00673DBD"/>
    <w:rsid w:val="006A14B7"/>
    <w:rsid w:val="008342A4"/>
    <w:rsid w:val="008525AF"/>
    <w:rsid w:val="008917C4"/>
    <w:rsid w:val="008A534D"/>
    <w:rsid w:val="009823E5"/>
    <w:rsid w:val="00C2188E"/>
    <w:rsid w:val="00C605E1"/>
    <w:rsid w:val="00E23EAC"/>
    <w:rsid w:val="00E430C0"/>
    <w:rsid w:val="00E77F4F"/>
    <w:rsid w:val="00F17497"/>
    <w:rsid w:val="27703B11"/>
    <w:rsid w:val="303720FE"/>
    <w:rsid w:val="368334B5"/>
    <w:rsid w:val="3AB865D4"/>
    <w:rsid w:val="3E6A6DEF"/>
    <w:rsid w:val="44A60DF3"/>
    <w:rsid w:val="6AA94B84"/>
    <w:rsid w:val="7DA9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qFormat="1" w:unhideWhenUsed="0" w:uiPriority="0" w:semiHidden="0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Times New Roman" w:hAnsi="Times New Roman" w:eastAsia="Times New Roman" w:cs="Times New Roman"/>
      <w:color w:val="00000A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1"/>
    <w:basedOn w:val="1"/>
    <w:next w:val="1"/>
    <w:semiHidden/>
    <w:unhideWhenUsed/>
    <w:qFormat/>
    <w:uiPriority w:val="99"/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paragraph" w:styleId="6">
    <w:name w:val="index heading"/>
    <w:basedOn w:val="1"/>
    <w:next w:val="4"/>
    <w:qFormat/>
    <w:uiPriority w:val="0"/>
    <w:pPr>
      <w:suppressLineNumbers/>
    </w:pPr>
    <w:rPr>
      <w:rFonts w:cs="Mangal"/>
    </w:rPr>
  </w:style>
  <w:style w:type="paragraph" w:styleId="7">
    <w:name w:val="List"/>
    <w:basedOn w:val="5"/>
    <w:qFormat/>
    <w:uiPriority w:val="0"/>
    <w:rPr>
      <w:rFonts w:cs="Mangal"/>
    </w:rPr>
  </w:style>
  <w:style w:type="paragraph" w:customStyle="1" w:styleId="8">
    <w:name w:val="Заголовок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customStyle="1" w:styleId="9">
    <w:name w:val="Название объекта1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ConsPlusNonformat"/>
    <w:qFormat/>
    <w:uiPriority w:val="99"/>
    <w:pPr>
      <w:spacing w:after="160" w:line="259" w:lineRule="auto"/>
    </w:pPr>
    <w:rPr>
      <w:rFonts w:ascii="Courier New" w:hAnsi="Courier New" w:eastAsia="Times New Roman" w:cs="Courier New"/>
      <w:color w:val="00000A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КонсультантПлюс Версия 4017.00.99</Company>
  <Pages>1</Pages>
  <Words>199</Words>
  <Characters>1136</Characters>
  <Lines>9</Lines>
  <Paragraphs>2</Paragraphs>
  <TotalTime>12</TotalTime>
  <ScaleCrop>false</ScaleCrop>
  <LinksUpToDate>false</LinksUpToDate>
  <CharactersWithSpaces>1333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2022-10-10T11:50:00Z</dcterms:created>
  <dc:creator>Admin</dc:creator>
  <cp:lastModifiedBy>Дарья</cp:lastModifiedBy>
  <cp:lastPrinted>2021-09-21T07:50:00Z</cp:lastPrinted>
  <dcterms:modified xsi:type="dcterms:W3CDTF">2026-01-22T07:14:49Z</dcterms:modified>
  <dc:title>"Устав Богородского района Нижегородской области"(принят постановлением Земского собрания Богородского района Нижегородской области от 29.06.2005 N 90)(ред. от 21.06.2018)(Зарегистрировано в ГУ Минюста РФ по Приволжскому федеральному округу 07.11.2005 N RU525040002005001)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4017.00.99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1049-12.2.0.20326</vt:lpwstr>
  </property>
  <property fmtid="{D5CDD505-2E9C-101B-9397-08002B2CF9AE}" pid="10" name="ICV">
    <vt:lpwstr>8834510880234637A180BE6FCAC064F4_13</vt:lpwstr>
  </property>
</Properties>
</file>